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SATCOMM 14-DAY PROGRAM</w:t>
        <w:br/>
        <w:t>SEPARATE ACCESSION AND GROUP TRUST INSTRUMENT</w:t>
      </w:r>
    </w:p>
    <w:p>
      <w:pPr>
        <w:jc w:val="center"/>
      </w:pPr>
      <w:r>
        <w:t>Effective for accepted accessions on or after September 5, 2026</w:t>
      </w:r>
    </w:p>
    <w:p>
      <w:pPr>
        <w:pStyle w:val="Heading1"/>
      </w:pPr>
      <w:r>
        <w:t>1. Separate 14-Day Program trust group</w:t>
      </w:r>
    </w:p>
    <w:p>
      <w:r>
        <w:t>The trust is irrevocable and cannot be amended to change any of its provisions. However, there is no restriction on adding a provision for another group, which creates a new, irrevocable trust for that group. The parties agree that the 14-Day Program group, with the amended arbitration clause, creates a separate trust from the original CLOCEST trust group. Any original member who fits within the specified group may accept the arbitration amendment.</w:t>
      </w:r>
    </w:p>
    <w:p>
      <w:pPr>
        <w:pStyle w:val="Heading1"/>
      </w:pPr>
      <w:r>
        <w:t>2. Introductory group</w:t>
      </w:r>
    </w:p>
    <w:p>
      <w:r>
        <w:t>The 14-Day Program is available to anyone with credit card debt, a student loan, a home loan, and/or a car loan. Although other individuals are part of the group, during the introductory period, this program is available only to the aforementioned individuals.</w:t>
      </w:r>
    </w:p>
    <w:p>
      <w:pPr>
        <w:pStyle w:val="Heading1"/>
      </w:pPr>
      <w:r>
        <w:t>3. SATCOMM 14-Day Program provisions</w:t>
      </w:r>
    </w:p>
    <w:p>
      <w:r>
        <w:t>The commercial code for every state recognizes an individual debtor's right to request a statement of accounting. Secured with that right, the debtor supplies their own statement of accounting, listing of collateral, and statement of financial transaction. SATCOMM will supply the communication on behalf of its clients and will do so via process server. Clients will sign a contractual agreement through the CLOCEST trust agreement with this amended arbitration clause. In addition to all provisions in the CLOCEST trust, the benefits and/or entitlement, and the limitation of the $800,000 amount per issue, a failure by any alleged creditor to supply the accounting, as prescribed in the commercial code for the state where the agreement was entered, the party resides, and/or the property is located, will establish a value equal to the total amount of the original agreement plus the inclearings amount associated with the inclearings account, otherwise known as the pledge collateral account.</w:t>
      </w:r>
    </w:p>
    <w:p>
      <w:r>
        <w:t>According to the DACA agreement (the Deposit Account Control Agreement), the borrower is the owner of the account, and the financial institution is simply a custodian. This is confirmed by Federal Reserve Operating Circular 10 §12.3 in Appendix 3 of the same operating circular. The note is collateral, the pledge collateral account is collateral, and the inclearings account is collateral. The borrower's interest therein creates a valid financial asset because of its Marketed Value and/or economic value, as determined by the Supreme Court.</w:t>
      </w:r>
    </w:p>
    <w:p>
      <w:r>
        <w:t>It is not necessary for the secured party of the so-called alleged security interest to be a party to the arbitration agreement because the borrower has the right to place their property interest in trust. The agreement between the secured party and the borrower does not prohibit such a property right, and the Constitution prohibits the denial of such a property right. However, because the act requires and creates a duty to provide and/or respond, a failure to respond could be predicated upon a violation of the trust res and the security associated with it.</w:t>
      </w:r>
    </w:p>
    <w:p>
      <w:pPr>
        <w:pStyle w:val="Heading1"/>
      </w:pPr>
      <w:r>
        <w:t>Schedule A — 14-Day Program information</w:t>
      </w:r>
    </w:p>
    <w:p>
      <w:r>
        <w:t>Obligation type: ____________________  Creditor/servicer: ____________________</w:t>
      </w:r>
    </w:p>
    <w:p>
      <w:r>
        <w:t>Account or transaction identifier: ____________________</w:t>
      </w:r>
    </w:p>
    <w:p>
      <w:r>
        <w:t>State where in the agreement was entered: ____________________</w:t>
      </w:r>
    </w:p>
    <w:p>
      <w:r>
        <w:t>State where in the party resides: ____________________</w:t>
      </w:r>
    </w:p>
    <w:p>
      <w:r>
        <w:t>State where in the property is located: ____________________</w:t>
      </w:r>
    </w:p>
    <w:p>
      <w:pPr>
        <w:pStyle w:val="Heading1"/>
      </w:pPr>
      <w:r>
        <w:t>Schedule B — value</w:t>
      </w:r>
    </w:p>
    <w:p>
      <w:r>
        <w:t>Total amount of the original agreement: $____________________</w:t>
      </w:r>
    </w:p>
    <w:p>
      <w:r>
        <w:t>Inclearings amount associated with the inclearings account otherwise known as the pledge collateral account: $____________________</w:t>
      </w:r>
    </w:p>
    <w:p>
      <w:r>
        <w:t>Total amount of the original agreement, plus the inclearings amount: $____________________</w:t>
      </w:r>
    </w:p>
    <w:p>
      <w:pPr>
        <w:pStyle w:val="Heading1"/>
      </w:pPr>
      <w:r>
        <w:t>Execution and acceptance</w:t>
      </w:r>
    </w:p>
    <w:p>
      <w:r>
        <w:t>14-Day Program member: ____________________  Date: __________</w:t>
      </w:r>
    </w:p>
    <w:p>
      <w:r>
        <w:t>Signature: _________________________________________</w:t>
      </w:r>
    </w:p>
    <w:p>
      <w:r>
        <w:t>Trustee: ___________________________________________  Date: __________</w:t>
      </w:r>
    </w:p>
    <w:p>
      <w:r>
        <w:t>SATCOMM: __________________________________________  Date: __________</w:t>
      </w:r>
    </w:p>
    <w:sectPr w:rsidR="00FC693F" w:rsidRPr="0006063C" w:rsidSect="00034616">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